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8A" w:rsidRPr="00C66BAE" w:rsidRDefault="00E0268A" w:rsidP="00561F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6B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Практичне заняття </w:t>
      </w:r>
      <w:r w:rsidR="001C2C57" w:rsidRPr="00C66B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</w:p>
    <w:p w:rsidR="00E0268A" w:rsidRPr="00C66BAE" w:rsidRDefault="00F47FE6" w:rsidP="00C66BA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Рекламна діяльність як явище економіки, </w:t>
      </w:r>
      <w:r w:rsidR="00C66BAE" w:rsidRPr="00C66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політики, </w:t>
      </w:r>
      <w:r w:rsidRPr="00C66BAE">
        <w:rPr>
          <w:rFonts w:ascii="Times New Roman" w:hAnsi="Times New Roman" w:cs="Times New Roman"/>
          <w:b/>
          <w:sz w:val="28"/>
          <w:szCs w:val="28"/>
          <w:lang w:val="uk-UA"/>
        </w:rPr>
        <w:t>психології та культури</w:t>
      </w:r>
    </w:p>
    <w:p w:rsidR="00F47FE6" w:rsidRPr="00C66BAE" w:rsidRDefault="00F47FE6" w:rsidP="00561F1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0268A" w:rsidRPr="00C66BAE" w:rsidRDefault="00E0268A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00"/>
          <w:lang w:val="uk-UA"/>
        </w:rPr>
      </w:pPr>
      <w:r w:rsidRPr="00C66BA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Форма проведення</w:t>
      </w:r>
      <w:r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дискусія, тренінг з розвитку критичного мислення</w:t>
      </w:r>
      <w:r w:rsidR="001C2C57"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(формат презентації)</w:t>
      </w:r>
      <w:r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C2C57" w:rsidRPr="00C66BAE" w:rsidRDefault="00E0268A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6BA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Мета заняття</w:t>
      </w:r>
      <w:r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1C2C57"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систематизувати знання та ознайомити </w:t>
      </w:r>
      <w:r w:rsidR="001C2C57"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студентів з </w:t>
      </w:r>
      <w:r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особливост</w:t>
      </w:r>
      <w:r w:rsidR="001C2C57"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ями </w:t>
      </w:r>
      <w:r w:rsidR="00C66BAE"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>рекламної діяльності як явища економіки, політики, психології та культури</w:t>
      </w:r>
      <w:r w:rsidRPr="00C66BA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C2C57" w:rsidRPr="00C66BAE" w:rsidRDefault="001C2C57" w:rsidP="00561F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66BAE">
        <w:rPr>
          <w:rFonts w:ascii="Times New Roman" w:hAnsi="Times New Roman" w:cs="Times New Roman"/>
          <w:sz w:val="28"/>
          <w:szCs w:val="28"/>
          <w:lang w:val="uk-UA"/>
        </w:rPr>
        <w:t>Регламент практичного заняття становить 2 академічні години. Час для доповіді студента – до 10 хвилин.</w:t>
      </w:r>
    </w:p>
    <w:p w:rsidR="00E0268A" w:rsidRPr="00C66BAE" w:rsidRDefault="00E0268A" w:rsidP="00561F1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:rsidR="00E0268A" w:rsidRPr="00C66BAE" w:rsidRDefault="00E0268A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BAE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61F12" w:rsidRPr="006518A9" w:rsidRDefault="00561F12" w:rsidP="00561F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Бебик В. М. Базові засади політичної реклами: історія, теорія, методологія, практика. К. : МАУП, 2000. 384 с.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A0">
        <w:rPr>
          <w:rFonts w:ascii="Times New Roman" w:hAnsi="Times New Roman"/>
          <w:sz w:val="28"/>
          <w:szCs w:val="28"/>
          <w:lang w:val="uk-UA"/>
        </w:rPr>
        <w:t>Кочубей Л.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О. </w:t>
      </w:r>
      <w:r w:rsidRPr="00761BA0">
        <w:rPr>
          <w:rFonts w:ascii="Times New Roman" w:hAnsi="Times New Roman"/>
          <w:sz w:val="28"/>
          <w:szCs w:val="28"/>
        </w:rPr>
        <w:t>PR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 у політичній </w:t>
      </w:r>
      <w:proofErr w:type="gramStart"/>
      <w:r w:rsidRPr="00761BA0">
        <w:rPr>
          <w:rFonts w:ascii="Times New Roman" w:hAnsi="Times New Roman"/>
          <w:sz w:val="28"/>
          <w:szCs w:val="28"/>
          <w:lang w:val="uk-UA"/>
        </w:rPr>
        <w:t>сфері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A0">
        <w:rPr>
          <w:rFonts w:ascii="Times New Roman" w:hAnsi="Times New Roman"/>
          <w:sz w:val="28"/>
          <w:szCs w:val="28"/>
          <w:lang w:val="uk-UA"/>
        </w:rPr>
        <w:t>:</w:t>
      </w:r>
      <w:proofErr w:type="gramEnd"/>
      <w:r w:rsidRPr="00761BA0">
        <w:rPr>
          <w:rFonts w:ascii="Times New Roman" w:hAnsi="Times New Roman"/>
          <w:sz w:val="28"/>
          <w:szCs w:val="28"/>
          <w:lang w:val="uk-UA"/>
        </w:rPr>
        <w:t xml:space="preserve"> Підручник. К.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761BA0">
        <w:rPr>
          <w:rFonts w:ascii="Times New Roman" w:hAnsi="Times New Roman"/>
          <w:sz w:val="28"/>
          <w:szCs w:val="28"/>
          <w:lang w:val="uk-UA"/>
        </w:rPr>
        <w:t>ІПіЕНД</w:t>
      </w:r>
      <w:proofErr w:type="spellEnd"/>
      <w:r w:rsidRPr="00761BA0">
        <w:rPr>
          <w:rFonts w:ascii="Times New Roman" w:hAnsi="Times New Roman"/>
          <w:sz w:val="28"/>
          <w:szCs w:val="28"/>
          <w:lang w:val="uk-UA"/>
        </w:rPr>
        <w:t xml:space="preserve"> ім. І.</w:t>
      </w:r>
      <w:r w:rsidRPr="00761B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A0">
        <w:rPr>
          <w:rFonts w:ascii="Times New Roman" w:hAnsi="Times New Roman"/>
          <w:sz w:val="28"/>
          <w:szCs w:val="28"/>
          <w:lang w:val="uk-UA"/>
        </w:rPr>
        <w:t>Ф. Кураса НАН України, 2013. 472 с.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Маркетингова політика комунікацій :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під ред. В. С.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Верлоки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, О. В. Богоявленського. Харків :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УкрДАЗТ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>, 2007. Ч.ІІ. 114 с.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Основи реклами і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зв'язків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 із громадськістю : підручник / за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ред. В. Ф. Іванова, В. В.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Різуна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К. :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Видавничо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-поліграфічний центр «Київський університет», 2011. 431 с. 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Почепцов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Г. Г.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Паблик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рилейшнз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профессионалов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– 2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изд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испр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М.-К. :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Рефл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-бук; </w:t>
      </w:r>
      <w:proofErr w:type="spellStart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>Ваклер</w:t>
      </w:r>
      <w:proofErr w:type="spellEnd"/>
      <w:r w:rsidRPr="00761BA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, 2000. 632 с.   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Реклама :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для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. / О. В. Коваленко, І. Ю.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Кутліна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, М. В.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Потабенко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 ; за ред. І. Ю.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Кутліної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>. К. : ДП «Вид. дім «Персонал», 2010. 98 с.</w:t>
      </w:r>
      <w:bookmarkStart w:id="0" w:name="_GoBack"/>
      <w:bookmarkEnd w:id="0"/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Реклама і зв’язки з громадськістю: конспект лекцій. Навчальний посібник. Електронне видання. Укладач М. Г.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Житарюк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>. Вінниця, 2015. 165 с.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Слісаренко І. Ю. Паблік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рилейшнз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 у системі комунікації та управління. Навчальний посібник. К. : Либідь, 2001. 101 с.</w:t>
      </w:r>
    </w:p>
    <w:p w:rsidR="00761BA0" w:rsidRPr="00761BA0" w:rsidRDefault="00761BA0" w:rsidP="00761BA0">
      <w:pPr>
        <w:pStyle w:val="a4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Хавкіна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 xml:space="preserve"> Л. М.  Основи  рекламної  діяльності : Методичні матеріали для студентів зі спеціальності «Журналістика». Вид. 2, </w:t>
      </w:r>
      <w:proofErr w:type="spellStart"/>
      <w:r w:rsidRPr="00761BA0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761BA0">
        <w:rPr>
          <w:rFonts w:ascii="Times New Roman" w:hAnsi="Times New Roman" w:cs="Times New Roman"/>
          <w:sz w:val="28"/>
          <w:szCs w:val="28"/>
          <w:lang w:val="uk-UA"/>
        </w:rPr>
        <w:t>. Х. : ХНУ імені В. Н. Каразіна, 2006. 56 с.</w:t>
      </w:r>
    </w:p>
    <w:sectPr w:rsidR="00761BA0" w:rsidRPr="00761B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D5488"/>
    <w:multiLevelType w:val="hybridMultilevel"/>
    <w:tmpl w:val="7CC06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AA2A01"/>
    <w:multiLevelType w:val="multilevel"/>
    <w:tmpl w:val="5C42C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72093F"/>
    <w:multiLevelType w:val="hybridMultilevel"/>
    <w:tmpl w:val="B570F7A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895786"/>
    <w:multiLevelType w:val="multilevel"/>
    <w:tmpl w:val="0096D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5B1239"/>
    <w:multiLevelType w:val="hybridMultilevel"/>
    <w:tmpl w:val="A17ED1D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A"/>
    <w:rsid w:val="001C2C57"/>
    <w:rsid w:val="002D0411"/>
    <w:rsid w:val="00557BC1"/>
    <w:rsid w:val="00561F12"/>
    <w:rsid w:val="006310D5"/>
    <w:rsid w:val="006518A9"/>
    <w:rsid w:val="006C12C8"/>
    <w:rsid w:val="006D367F"/>
    <w:rsid w:val="00761BA0"/>
    <w:rsid w:val="00C66BAE"/>
    <w:rsid w:val="00DC72C7"/>
    <w:rsid w:val="00E0268A"/>
    <w:rsid w:val="00F070B5"/>
    <w:rsid w:val="00F4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3443"/>
  <w15:chartTrackingRefBased/>
  <w15:docId w15:val="{450EF0AE-9266-41BE-B624-CD28D655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8A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C2C57"/>
    <w:rPr>
      <w:i/>
      <w:iCs/>
    </w:rPr>
  </w:style>
  <w:style w:type="paragraph" w:styleId="a4">
    <w:name w:val="List Paragraph"/>
    <w:basedOn w:val="a"/>
    <w:uiPriority w:val="34"/>
    <w:qFormat/>
    <w:rsid w:val="006C12C8"/>
    <w:pPr>
      <w:ind w:left="720"/>
      <w:contextualSpacing/>
    </w:pPr>
  </w:style>
  <w:style w:type="paragraph" w:styleId="a5">
    <w:name w:val="Body Text"/>
    <w:basedOn w:val="a"/>
    <w:link w:val="a6"/>
    <w:rsid w:val="006310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6310D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6</cp:revision>
  <dcterms:created xsi:type="dcterms:W3CDTF">2022-09-04T14:08:00Z</dcterms:created>
  <dcterms:modified xsi:type="dcterms:W3CDTF">2022-09-04T14:24:00Z</dcterms:modified>
</cp:coreProperties>
</file>